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Минобразования Новосибирской области от 16.04.2018 N 922</w:t>
              <w:br/>
              <w:t xml:space="preserve">(ред. от 21.12.2023)</w:t>
              <w:br/>
              <w:t xml:space="preserve">"Об Общественном совете при министерстве образования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ОБРАЗОВАНИЯ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апреля 2018 г. N 922</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Новосибирской области</w:t>
            </w:r>
          </w:p>
          <w:p>
            <w:pPr>
              <w:pStyle w:val="0"/>
              <w:jc w:val="center"/>
            </w:pPr>
            <w:r>
              <w:rPr>
                <w:sz w:val="20"/>
                <w:color w:val="392c69"/>
              </w:rPr>
              <w:t xml:space="preserve">от 30.03.2021 </w:t>
            </w:r>
            <w:hyperlink w:history="0" r:id="rId7"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color w:val="392c69"/>
              </w:rPr>
              <w:t xml:space="preserve">, от 08.07.2022 </w:t>
            </w:r>
            <w:hyperlink w:history="0" r:id="rId8"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color w:val="392c69"/>
              </w:rPr>
              <w:t xml:space="preserve">, от 12.10.2022 </w:t>
            </w:r>
            <w:hyperlink w:history="0" r:id="rId9"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N 2182</w:t>
              </w:r>
            </w:hyperlink>
            <w:r>
              <w:rPr>
                <w:sz w:val="20"/>
                <w:color w:val="392c69"/>
              </w:rPr>
              <w:t xml:space="preserve">,</w:t>
            </w:r>
          </w:p>
          <w:p>
            <w:pPr>
              <w:pStyle w:val="0"/>
              <w:jc w:val="center"/>
            </w:pPr>
            <w:r>
              <w:rPr>
                <w:sz w:val="20"/>
                <w:color w:val="392c69"/>
              </w:rPr>
              <w:t xml:space="preserve">от 28.11.2022 </w:t>
            </w:r>
            <w:hyperlink w:history="0" r:id="rId10"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N 2751</w:t>
              </w:r>
            </w:hyperlink>
            <w:r>
              <w:rPr>
                <w:sz w:val="20"/>
                <w:color w:val="392c69"/>
              </w:rPr>
              <w:t xml:space="preserve">, от 21.12.2023 </w:t>
            </w:r>
            <w:hyperlink w:history="0" r:id="rId11" w:tooltip="Приказ Минобразования Новосибирской области от 21.12.2023 N 2719 &quot;О внесении изменения в приказ министерства образования Новосибирской области от 16.04.2018 N 922&quot; {КонсультантПлюс}">
              <w:r>
                <w:rPr>
                  <w:sz w:val="20"/>
                  <w:color w:val="0000ff"/>
                </w:rPr>
                <w:t xml:space="preserve">N 2719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2" w:tooltip="Федеральный закон от 29.12.2012 N 273-ФЗ (ред. от 07.03.2018) &quot;Об образовании в Российской Федерации&quot; ------------ Недействующая редакция {КонсультантПлюс}">
        <w:r>
          <w:rPr>
            <w:sz w:val="20"/>
            <w:color w:val="0000ff"/>
          </w:rPr>
          <w:t xml:space="preserve">частью 1 статьи 89</w:t>
        </w:r>
      </w:hyperlink>
      <w:r>
        <w:rPr>
          <w:sz w:val="20"/>
        </w:rPr>
        <w:t xml:space="preserve">, </w:t>
      </w:r>
      <w:hyperlink w:history="0" r:id="rId13" w:tooltip="Федеральный закон от 29.12.2012 N 273-ФЗ (ред. от 07.03.2018) &quot;Об образовании в Российской Федерации&quot; ------------ Недействующая редакция {КонсультантПлюс}">
        <w:r>
          <w:rPr>
            <w:sz w:val="20"/>
            <w:color w:val="0000ff"/>
          </w:rPr>
          <w:t xml:space="preserve">частью 1 статьи 97</w:t>
        </w:r>
      </w:hyperlink>
      <w:r>
        <w:rPr>
          <w:sz w:val="20"/>
        </w:rPr>
        <w:t xml:space="preserve"> Федерального закона от 29.12.2012 N 273-ФЗ "Об образовании в Российской Федерации", Федеральным </w:t>
      </w:r>
      <w:hyperlink w:history="0" r:id="rId14"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6" w:tooltip="Закон Новосибирской области от 05.07.2013 N 361-ОЗ (ред. от 03.04.2018) &quot;О регулировании отношений в сфере образования в Новосибирской области&quot; (принят постановлением Законодательного Собрания Новосибирской области от 04.07.2013 N 361-ЗС) ------------ Недействующая редакция {КонсультантПлюс}">
        <w:r>
          <w:rPr>
            <w:sz w:val="20"/>
            <w:color w:val="0000ff"/>
          </w:rPr>
          <w:t xml:space="preserve">пунктом 26 части 1 статьи 6</w:t>
        </w:r>
      </w:hyperlink>
      <w:r>
        <w:rPr>
          <w:sz w:val="20"/>
        </w:rPr>
        <w:t xml:space="preserve"> Закона Новосибирской области от 04.07.2013 N 361-ОЗ "О регулировании отношений в сфере образования в Новосибирской области", </w:t>
      </w:r>
      <w:hyperlink w:history="0" r:id="rId17" w:tooltip="Постановление Правительства Новосибирской области от 01.12.2015 N 425-п (ред. от 10.04.2018)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письмом Общественной палаты Новосибирской области от 04.04.2018 N 122-АОП, протоколом от 26.03.2018 N 2 заседания конкурсной комиссии по формированию нового состава Общественного совета при министерстве образования Новосибирской области, действующей в соответствии с </w:t>
      </w:r>
      <w:hyperlink w:history="0" r:id="rId18" w:tooltip="Приказ Минобразования Новосибирской области от 26.02.2018 N 412 &quot;О конкурсной комиссии по проведению конкурсного отбора кандидатов для формирования состава Общественного совета при министерстве образования Новосибирской области&quot; ------------ Недействующая редакция {КонсультантПлюс}">
        <w:r>
          <w:rPr>
            <w:sz w:val="20"/>
            <w:color w:val="0000ff"/>
          </w:rPr>
          <w:t xml:space="preserve">приказом</w:t>
        </w:r>
      </w:hyperlink>
      <w:r>
        <w:rPr>
          <w:sz w:val="20"/>
        </w:rPr>
        <w:t xml:space="preserve"> министерства образования Новосибирской области от 26.02.2018 N 412 "О конкурсной комиссии по проведению конкурсного отбора кандидатов для формирования состава Общественного совета при министерстве образования Новосибирской области", в целях обеспечения прозрачности и открытости деятельности министерства образования Новосибирской области (далее - Министерство), а также участия представителей общественности в процессе подготовки и реализации решений в сфере деятельности Министерства,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образования Новосибирской области (далее - Общественный совет);</w:t>
      </w:r>
    </w:p>
    <w:p>
      <w:pPr>
        <w:pStyle w:val="0"/>
        <w:spacing w:before="200" w:line-rule="auto"/>
        <w:ind w:firstLine="540"/>
        <w:jc w:val="both"/>
      </w:pPr>
      <w:r>
        <w:rPr>
          <w:sz w:val="20"/>
        </w:rPr>
        <w:t xml:space="preserve">2) утратил силу. - </w:t>
      </w:r>
      <w:hyperlink w:history="0" r:id="rId19"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Приказ</w:t>
        </w:r>
      </w:hyperlink>
      <w:r>
        <w:rPr>
          <w:sz w:val="20"/>
        </w:rPr>
        <w:t xml:space="preserve"> Минобразования Новосибирской области от 28.11.2022 N 2751.</w:t>
      </w:r>
    </w:p>
    <w:p>
      <w:pPr>
        <w:pStyle w:val="0"/>
        <w:spacing w:before="200" w:line-rule="auto"/>
        <w:ind w:firstLine="540"/>
        <w:jc w:val="both"/>
      </w:pPr>
      <w:r>
        <w:rPr>
          <w:sz w:val="20"/>
        </w:rPr>
        <w:t xml:space="preserve">2. Возложить на государственное казенное учреждение Новосибирской области "Новосибирский институт мониторинга и развития образования" (Ярославцева Н.В.) осуществление организационно-технического обеспечения, а также информационного сопровождения деятельности Общественного совета.</w:t>
      </w:r>
    </w:p>
    <w:p>
      <w:pPr>
        <w:pStyle w:val="0"/>
        <w:jc w:val="both"/>
      </w:pPr>
      <w:r>
        <w:rPr>
          <w:sz w:val="20"/>
        </w:rPr>
        <w:t xml:space="preserve">(в ред. приказов Минобразования Новосибирской области от 30.03.2021 </w:t>
      </w:r>
      <w:hyperlink w:history="0" r:id="rId20"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rPr>
        <w:t xml:space="preserve">, от 08.07.2022 </w:t>
      </w:r>
      <w:hyperlink w:history="0" r:id="rId21"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rPr>
        <w:t xml:space="preserve">)</w:t>
      </w:r>
    </w:p>
    <w:p>
      <w:pPr>
        <w:pStyle w:val="0"/>
        <w:spacing w:before="200" w:line-rule="auto"/>
        <w:ind w:firstLine="540"/>
        <w:jc w:val="both"/>
      </w:pPr>
      <w:r>
        <w:rPr>
          <w:sz w:val="20"/>
        </w:rPr>
        <w:t xml:space="preserve">3. Контроль за исполнением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С.В.ФЕДОРЧУК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Минобразования</w:t>
      </w:r>
    </w:p>
    <w:p>
      <w:pPr>
        <w:pStyle w:val="0"/>
        <w:jc w:val="right"/>
      </w:pPr>
      <w:r>
        <w:rPr>
          <w:sz w:val="20"/>
        </w:rPr>
        <w:t xml:space="preserve">Новосибирской области</w:t>
      </w:r>
    </w:p>
    <w:p>
      <w:pPr>
        <w:pStyle w:val="0"/>
        <w:jc w:val="right"/>
      </w:pPr>
      <w:r>
        <w:rPr>
          <w:sz w:val="20"/>
        </w:rPr>
        <w:t xml:space="preserve">от 16.04.2018 N 922</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НОВОСИБИРСКОЙ ОБЛАСТИ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Новосибирской области</w:t>
            </w:r>
          </w:p>
          <w:p>
            <w:pPr>
              <w:pStyle w:val="0"/>
              <w:jc w:val="center"/>
            </w:pPr>
            <w:r>
              <w:rPr>
                <w:sz w:val="20"/>
                <w:color w:val="392c69"/>
              </w:rPr>
              <w:t xml:space="preserve">от 30.03.2021 </w:t>
            </w:r>
            <w:hyperlink w:history="0" r:id="rId22"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color w:val="392c69"/>
              </w:rPr>
              <w:t xml:space="preserve">, от 08.07.2022 </w:t>
            </w:r>
            <w:hyperlink w:history="0" r:id="rId23"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color w:val="392c69"/>
              </w:rPr>
              <w:t xml:space="preserve">, от 12.10.2022 </w:t>
            </w:r>
            <w:hyperlink w:history="0" r:id="rId24"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N 2182</w:t>
              </w:r>
            </w:hyperlink>
            <w:r>
              <w:rPr>
                <w:sz w:val="20"/>
                <w:color w:val="392c69"/>
              </w:rPr>
              <w:t xml:space="preserve">,</w:t>
            </w:r>
          </w:p>
          <w:p>
            <w:pPr>
              <w:pStyle w:val="0"/>
              <w:jc w:val="center"/>
            </w:pPr>
            <w:r>
              <w:rPr>
                <w:sz w:val="20"/>
                <w:color w:val="392c69"/>
              </w:rPr>
              <w:t xml:space="preserve">от 21.12.2023 </w:t>
            </w:r>
            <w:hyperlink w:history="0" r:id="rId25" w:tooltip="Приказ Минобразования Новосибирской области от 21.12.2023 N 2719 &quot;О внесении изменения в приказ министерства образования Новосибирской области от 16.04.2018 N 922&quot; {КонсультантПлюс}">
              <w:r>
                <w:rPr>
                  <w:sz w:val="20"/>
                  <w:color w:val="0000ff"/>
                </w:rPr>
                <w:t xml:space="preserve">N 2719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26"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7"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28" w:tooltip="Постановление Правительства Новосибирской области от 01.12.2015 N 425-п (ред. от 10.04.2018)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определяет компетенцию, права, порядок формирования и организацию деятельности Общественного совета при министерстве образования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образования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9" w:name="P69"/>
    <w:bookmarkEnd w:id="69"/>
    <w:p>
      <w:pPr>
        <w:pStyle w:val="2"/>
        <w:outlineLvl w:val="1"/>
        <w:jc w:val="center"/>
      </w:pPr>
      <w:r>
        <w:rPr>
          <w:sz w:val="20"/>
        </w:rPr>
        <w:t xml:space="preserve">III. Порядок формирования Общественного совета</w:t>
      </w:r>
    </w:p>
    <w:p>
      <w:pPr>
        <w:pStyle w:val="0"/>
        <w:jc w:val="center"/>
      </w:pPr>
      <w:r>
        <w:rPr>
          <w:sz w:val="20"/>
        </w:rPr>
        <w:t xml:space="preserve">(в ред. </w:t>
      </w:r>
      <w:hyperlink w:history="0" r:id="rId30"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w:t>
      </w:r>
    </w:p>
    <w:p>
      <w:pPr>
        <w:pStyle w:val="0"/>
        <w:jc w:val="center"/>
      </w:pPr>
      <w:r>
        <w:rPr>
          <w:sz w:val="20"/>
        </w:rPr>
        <w:t xml:space="preserve">от 30.03.2021 N 782)</w:t>
      </w:r>
    </w:p>
    <w:p>
      <w:pPr>
        <w:pStyle w:val="0"/>
        <w:ind w:firstLine="540"/>
        <w:jc w:val="both"/>
      </w:pPr>
      <w:r>
        <w:rPr>
          <w:sz w:val="20"/>
        </w:rPr>
      </w:r>
    </w:p>
    <w:p>
      <w:pPr>
        <w:pStyle w:val="0"/>
        <w:ind w:firstLine="540"/>
        <w:jc w:val="both"/>
      </w:pPr>
      <w:r>
        <w:rPr>
          <w:sz w:val="20"/>
        </w:rPr>
        <w:t xml:space="preserve">7. Общественный совет формируется конкурсной комиссией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Министерство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министерства совместно с советом Общественной палаты Новосибирской области.</w:t>
      </w:r>
    </w:p>
    <w:bookmarkStart w:id="77" w:name="P77"/>
    <w:bookmarkEnd w:id="77"/>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3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32"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12.10.2022 N 2182)</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утратил силу. - </w:t>
      </w:r>
      <w:hyperlink w:history="0" r:id="rId34" w:tooltip="Приказ Минобразования Новосибирской области от 21.12.2023 N 2719 &quot;О внесении изменения в приказ министерства образования Новосибирской области от 16.04.2018 N 922&quot; {КонсультантПлюс}">
        <w:r>
          <w:rPr>
            <w:sz w:val="20"/>
            <w:color w:val="0000ff"/>
          </w:rPr>
          <w:t xml:space="preserve">Приказ</w:t>
        </w:r>
      </w:hyperlink>
      <w:r>
        <w:rPr>
          <w:sz w:val="20"/>
        </w:rPr>
        <w:t xml:space="preserve"> Минобразования Новосибирской области от 21.12.2023 N 2719.</w:t>
      </w:r>
    </w:p>
    <w:bookmarkStart w:id="82" w:name="P82"/>
    <w:bookmarkEnd w:id="82"/>
    <w:p>
      <w:pPr>
        <w:pStyle w:val="0"/>
        <w:spacing w:before="200" w:line-rule="auto"/>
        <w:ind w:firstLine="540"/>
        <w:jc w:val="both"/>
      </w:pPr>
      <w:r>
        <w:rPr>
          <w:sz w:val="20"/>
        </w:rPr>
        <w:t xml:space="preserve">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w:t>
      </w:r>
      <w:hyperlink w:history="0" w:anchor="P83"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соответствии со следующей квотой представительства:</w:t>
      </w:r>
    </w:p>
    <w:p>
      <w:pPr>
        <w:pStyle w:val="0"/>
        <w:jc w:val="both"/>
      </w:pPr>
      <w:r>
        <w:rPr>
          <w:sz w:val="20"/>
        </w:rPr>
        <w:t xml:space="preserve">(в ред. </w:t>
      </w:r>
      <w:hyperlink w:history="0" r:id="rId35"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12.10.2022 N 2182)</w:t>
      </w:r>
    </w:p>
    <w:bookmarkStart w:id="85" w:name="P85"/>
    <w:bookmarkEnd w:id="85"/>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2"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6" w:name="P86"/>
    <w:bookmarkEnd w:id="86"/>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2"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Министерства в установленных федеральным и областным законодательством сферах, при котором формируется Общественный совет.</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36"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37"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11.1.1 введен </w:t>
      </w:r>
      <w:hyperlink w:history="0" r:id="rId38"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11.2. Кандидаты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в установленных федеральным и областным законодательством сферах, при котором формируется Общественный совет,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spacing w:before="200" w:line-rule="auto"/>
        <w:ind w:firstLine="540"/>
        <w:jc w:val="both"/>
      </w:pPr>
      <w:r>
        <w:rPr>
          <w:sz w:val="20"/>
        </w:rPr>
        <w:t xml:space="preserve">12. Решение о создании (формировании) Общественного совета принимается министром.</w:t>
      </w:r>
    </w:p>
    <w:p>
      <w:pPr>
        <w:pStyle w:val="0"/>
        <w:spacing w:before="200" w:line-rule="auto"/>
        <w:ind w:firstLine="540"/>
        <w:jc w:val="both"/>
      </w:pPr>
      <w:r>
        <w:rPr>
          <w:sz w:val="20"/>
        </w:rPr>
        <w:t xml:space="preserve">13.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министерства)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15.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10" w:name="P110"/>
    <w:bookmarkEnd w:id="110"/>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64"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307"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70"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23"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(пп. 4 введен </w:t>
      </w:r>
      <w:hyperlink w:history="0" r:id="rId39"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bookmarkStart w:id="116" w:name="P116"/>
    <w:bookmarkEnd w:id="116"/>
    <w:p>
      <w:pPr>
        <w:pStyle w:val="0"/>
        <w:spacing w:before="200" w:line-rule="auto"/>
        <w:ind w:firstLine="540"/>
        <w:jc w:val="both"/>
      </w:pPr>
      <w:r>
        <w:rPr>
          <w:sz w:val="20"/>
        </w:rPr>
        <w:t xml:space="preserve">17. При выдвижении кандидатов, указанных в </w:t>
      </w:r>
      <w:hyperlink w:history="0" w:anchor="P85"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6"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17 в ред. </w:t>
      </w:r>
      <w:hyperlink w:history="0" r:id="rId40"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bookmarkStart w:id="118" w:name="P118"/>
    <w:bookmarkEnd w:id="118"/>
    <w:p>
      <w:pPr>
        <w:pStyle w:val="0"/>
        <w:spacing w:before="200" w:line-rule="auto"/>
        <w:ind w:firstLine="540"/>
        <w:jc w:val="both"/>
      </w:pPr>
      <w:r>
        <w:rPr>
          <w:sz w:val="20"/>
        </w:rPr>
        <w:t xml:space="preserve">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w:t>
      </w:r>
      <w:hyperlink w:history="0" w:anchor="P110"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16" w:tooltip="17.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w:t>
      </w:r>
    </w:p>
    <w:p>
      <w:pPr>
        <w:pStyle w:val="0"/>
        <w:spacing w:before="200" w:line-rule="auto"/>
        <w:ind w:firstLine="540"/>
        <w:jc w:val="both"/>
      </w:pPr>
      <w:r>
        <w:rPr>
          <w:sz w:val="20"/>
        </w:rPr>
        <w:t xml:space="preserve">Секретарь Конкурсной комиссии направляет в Общественную палату Новосибирской области для согласования состава Общественного совета решение Конкурсной комиссии в течение 1 рабочего дня со дня принятия Конкурсной комиссией решения. В течение 1 рабочего дня после согласования состава Общественного совета Общественной палатой Новосибирской области секретарь Конкурсной комиссии организует работу по утверждению приказом Министерства состава Общественного совета.</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 утверждает своим приказом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2"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p>
      <w:pPr>
        <w:pStyle w:val="0"/>
        <w:jc w:val="both"/>
      </w:pPr>
      <w:r>
        <w:rPr>
          <w:sz w:val="20"/>
        </w:rPr>
        <w:t xml:space="preserve">(п. 18.1 введен </w:t>
      </w:r>
      <w:hyperlink w:history="0" r:id="rId41"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bookmarkStart w:id="125" w:name="P125"/>
    <w:bookmarkEnd w:id="125"/>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18" w:tooltip="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пунктах 16, 17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
        <w:r>
          <w:rPr>
            <w:sz w:val="20"/>
            <w:color w:val="0000ff"/>
          </w:rPr>
          <w:t xml:space="preserve">пункте 18</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26" w:name="P126"/>
    <w:bookmarkEnd w:id="126"/>
    <w:p>
      <w:pPr>
        <w:pStyle w:val="0"/>
        <w:spacing w:before="200" w:line-rule="auto"/>
        <w:ind w:firstLine="540"/>
        <w:jc w:val="both"/>
      </w:pPr>
      <w:r>
        <w:rPr>
          <w:sz w:val="20"/>
        </w:rPr>
        <w:t xml:space="preserve">20. Срок полномочий членов Общественного совета составляет три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69"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42"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Кандидаты на должность председателя Общественного совета представляют краткую программу своей работы.</w:t>
      </w:r>
    </w:p>
    <w:p>
      <w:pPr>
        <w:pStyle w:val="0"/>
        <w:jc w:val="both"/>
      </w:pPr>
      <w:r>
        <w:rPr>
          <w:sz w:val="20"/>
        </w:rPr>
        <w:t xml:space="preserve">(абзац введен </w:t>
      </w:r>
      <w:hyperlink w:history="0" r:id="rId43"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приказов Минобразования Новосибирской области от 30.03.2021 </w:t>
      </w:r>
      <w:hyperlink w:history="0" r:id="rId44"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rPr>
        <w:t xml:space="preserve">, от 08.07.2022 </w:t>
      </w:r>
      <w:hyperlink w:history="0" r:id="rId45"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rPr>
        <w:t xml:space="preserve">)</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Министерство ежегодный доклад;</w:t>
      </w:r>
    </w:p>
    <w:p>
      <w:pPr>
        <w:pStyle w:val="0"/>
        <w:jc w:val="both"/>
      </w:pPr>
      <w:r>
        <w:rPr>
          <w:sz w:val="20"/>
        </w:rPr>
        <w:t xml:space="preserve">(пп. 6.1 введен </w:t>
      </w:r>
      <w:hyperlink w:history="0" r:id="rId46"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6.2 введен </w:t>
      </w:r>
      <w:hyperlink w:history="0" r:id="rId47"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(пп. 6 введен </w:t>
      </w:r>
      <w:hyperlink w:history="0" r:id="rId48"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jc w:val="both"/>
      </w:pPr>
      <w:r>
        <w:rPr>
          <w:sz w:val="20"/>
        </w:rPr>
        <w:t xml:space="preserve">(пп. 7 введен </w:t>
      </w:r>
      <w:hyperlink w:history="0" r:id="rId49"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jc w:val="both"/>
      </w:pPr>
      <w:r>
        <w:rPr>
          <w:sz w:val="20"/>
        </w:rPr>
        <w:t xml:space="preserve">(абзац введен </w:t>
      </w:r>
      <w:hyperlink w:history="0" r:id="rId50"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82" w:name="P182"/>
    <w:bookmarkEnd w:id="182"/>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83" w:name="P183"/>
    <w:bookmarkEnd w:id="183"/>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7"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89" w:name="P189"/>
    <w:bookmarkEnd w:id="189"/>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39"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82"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Министерства, при котором создан общественный совет,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83" w:tooltip="2) смерти;">
        <w:r>
          <w:rPr>
            <w:sz w:val="20"/>
            <w:color w:val="0000ff"/>
          </w:rPr>
          <w:t xml:space="preserve">подпунктами 2</w:t>
        </w:r>
      </w:hyperlink>
      <w:r>
        <w:rPr>
          <w:sz w:val="20"/>
        </w:rPr>
        <w:t xml:space="preserve"> - </w:t>
      </w:r>
      <w:hyperlink w:history="0" w:anchor="P189"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p>
      <w:pPr>
        <w:pStyle w:val="0"/>
        <w:jc w:val="both"/>
      </w:pPr>
      <w:r>
        <w:rPr>
          <w:sz w:val="20"/>
        </w:rPr>
        <w:t xml:space="preserve">(п. 30 в ред. </w:t>
      </w:r>
      <w:hyperlink w:history="0" r:id="rId51"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25" w:tooltip="19. В течение 5 рабочих дней со дня подписания приказа, указанного в пункте 18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9"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30.1 введен </w:t>
      </w:r>
      <w:hyperlink w:history="0" r:id="rId52"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исполнительного органа власти, при котором создан Общественный совет, и в случае признания деятельности Общественного совета неэффективной в соответствии с </w:t>
      </w:r>
      <w:hyperlink w:history="0" w:anchor="P204"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Положения.</w:t>
      </w:r>
    </w:p>
    <w:p>
      <w:pPr>
        <w:pStyle w:val="0"/>
        <w:jc w:val="both"/>
      </w:pPr>
      <w:r>
        <w:rPr>
          <w:sz w:val="20"/>
        </w:rPr>
        <w:t xml:space="preserve">(п. 30.2 введен </w:t>
      </w:r>
      <w:hyperlink w:history="0" r:id="rId53"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имеет право создавать рабочие группы по вопросам, отнесенным к компетенции Общественного совета.</w:t>
      </w:r>
    </w:p>
    <w:bookmarkStart w:id="204" w:name="P204"/>
    <w:bookmarkEnd w:id="204"/>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69"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32.1 введен </w:t>
      </w:r>
      <w:hyperlink w:history="0" r:id="rId54"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26" w:tooltip="20. Срок полномочий членов Общественного совета составляет три года.">
        <w:r>
          <w:rPr>
            <w:sz w:val="20"/>
            <w:color w:val="0000ff"/>
          </w:rPr>
          <w:t xml:space="preserve">пунктом 20</w:t>
        </w:r>
      </w:hyperlink>
      <w:r>
        <w:rPr>
          <w:sz w:val="20"/>
        </w:rPr>
        <w:t xml:space="preserve"> настоящего Положения.</w:t>
      </w:r>
    </w:p>
    <w:p>
      <w:pPr>
        <w:pStyle w:val="0"/>
        <w:jc w:val="both"/>
      </w:pPr>
      <w:r>
        <w:rPr>
          <w:sz w:val="20"/>
        </w:rPr>
        <w:t xml:space="preserve">(п. 33.1 введен </w:t>
      </w:r>
      <w:hyperlink w:history="0" r:id="rId55"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w:t>
      </w:r>
    </w:p>
    <w:p>
      <w:pPr>
        <w:pStyle w:val="2"/>
        <w:jc w:val="center"/>
      </w:pPr>
      <w:r>
        <w:rPr>
          <w:sz w:val="20"/>
        </w:rPr>
        <w:t xml:space="preserve">совета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w:t>
      </w:r>
    </w:p>
    <w:p>
      <w:pPr>
        <w:pStyle w:val="2"/>
        <w:jc w:val="center"/>
      </w:pPr>
      <w:r>
        <w:rPr>
          <w:sz w:val="20"/>
        </w:rPr>
        <w:t xml:space="preserve">общественного 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56"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устанавливаются порядки организации и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jc w:val="center"/>
      </w:pPr>
      <w:r>
        <w:rPr>
          <w:sz w:val="20"/>
        </w:rPr>
        <w:t xml:space="preserve">(введен </w:t>
      </w:r>
      <w:hyperlink w:history="0" r:id="rId57"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w:t>
      </w:r>
    </w:p>
    <w:p>
      <w:pPr>
        <w:pStyle w:val="0"/>
        <w:jc w:val="center"/>
      </w:pPr>
      <w:r>
        <w:rPr>
          <w:sz w:val="20"/>
        </w:rPr>
        <w:t xml:space="preserve">от 30.03.2021 N 782)</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5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39" w:name="P239"/>
    <w:bookmarkEnd w:id="239"/>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области/министерство образования</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64" w:name="P264"/>
    <w:bookmarkEnd w:id="264"/>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t xml:space="preserve">              министерстве образования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образования Новосибирской области.</w:t>
      </w:r>
    </w:p>
    <w:p>
      <w:pPr>
        <w:pStyle w:val="1"/>
        <w:jc w:val="both"/>
      </w:pPr>
      <w:r>
        <w:rPr>
          <w:sz w:val="20"/>
        </w:rPr>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образования  Новосибирской  области, и выражаю свое согласие войти в состав</w:t>
      </w:r>
    </w:p>
    <w:p>
      <w:pPr>
        <w:pStyle w:val="1"/>
        <w:jc w:val="both"/>
      </w:pPr>
      <w:r>
        <w:rPr>
          <w:sz w:val="20"/>
        </w:rPr>
        <w:t xml:space="preserve">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w:t>
      </w:r>
    </w:p>
    <w:p>
      <w:pPr>
        <w:pStyle w:val="1"/>
        <w:jc w:val="both"/>
      </w:pPr>
      <w:r>
        <w:rPr>
          <w:sz w:val="20"/>
        </w:rPr>
        <w:t xml:space="preserve">                              Общественного совета)</w:t>
      </w:r>
    </w:p>
    <w:p>
      <w:pPr>
        <w:pStyle w:val="1"/>
        <w:jc w:val="both"/>
      </w:pPr>
      <w:r>
        <w:rPr>
          <w:sz w:val="20"/>
        </w:rPr>
      </w:r>
    </w:p>
    <w:p>
      <w:pPr>
        <w:pStyle w:val="1"/>
        <w:jc w:val="both"/>
      </w:pPr>
      <w:r>
        <w:rPr>
          <w:sz w:val="20"/>
        </w:rPr>
        <w:t xml:space="preserve">"___" __________ 20___ г. _______________/_________________________________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307" w:name="P307"/>
    <w:bookmarkEnd w:id="307"/>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w:t>
      </w:r>
    </w:p>
    <w:p>
      <w:pPr>
        <w:pStyle w:val="0"/>
        <w:jc w:val="center"/>
      </w:pPr>
      <w:r>
        <w:rPr>
          <w:sz w:val="20"/>
        </w:rPr>
        <w:t xml:space="preserve">образования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69"/>
        <w:gridCol w:w="2834"/>
      </w:tblGrid>
      <w:tr>
        <w:tc>
          <w:tcPr>
            <w:tcW w:w="566" w:type="dxa"/>
          </w:tcPr>
          <w:p>
            <w:pPr>
              <w:pStyle w:val="0"/>
              <w:jc w:val="center"/>
            </w:pPr>
            <w:r>
              <w:rPr>
                <w:sz w:val="20"/>
              </w:rPr>
              <w:t xml:space="preserve">N п/п</w:t>
            </w:r>
          </w:p>
        </w:tc>
        <w:tc>
          <w:tcPr>
            <w:tcW w:w="5669" w:type="dxa"/>
          </w:tcPr>
          <w:p>
            <w:pPr>
              <w:pStyle w:val="0"/>
              <w:jc w:val="center"/>
            </w:pPr>
            <w:r>
              <w:rPr>
                <w:sz w:val="20"/>
              </w:rPr>
              <w:t xml:space="preserve">Сведения о кандидате</w:t>
            </w:r>
          </w:p>
        </w:tc>
        <w:tc>
          <w:tcPr>
            <w:tcW w:w="2834"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5669" w:type="dxa"/>
          </w:tcPr>
          <w:p>
            <w:pPr>
              <w:pStyle w:val="0"/>
              <w:jc w:val="both"/>
            </w:pPr>
            <w:r>
              <w:rPr>
                <w:sz w:val="20"/>
              </w:rPr>
              <w:t xml:space="preserve">Фамилия, имя, отчество (при наличии)</w:t>
            </w:r>
          </w:p>
        </w:tc>
        <w:tc>
          <w:tcPr>
            <w:tcW w:w="2834" w:type="dxa"/>
          </w:tcPr>
          <w:p>
            <w:pPr>
              <w:pStyle w:val="0"/>
            </w:pPr>
            <w:r>
              <w:rPr>
                <w:sz w:val="20"/>
              </w:rPr>
            </w:r>
          </w:p>
        </w:tc>
      </w:tr>
      <w:tr>
        <w:tc>
          <w:tcPr>
            <w:tcW w:w="566" w:type="dxa"/>
          </w:tcPr>
          <w:p>
            <w:pPr>
              <w:pStyle w:val="0"/>
              <w:jc w:val="center"/>
            </w:pPr>
            <w:r>
              <w:rPr>
                <w:sz w:val="20"/>
              </w:rPr>
              <w:t xml:space="preserve">2</w:t>
            </w:r>
          </w:p>
        </w:tc>
        <w:tc>
          <w:tcPr>
            <w:tcW w:w="5669" w:type="dxa"/>
          </w:tcPr>
          <w:p>
            <w:pPr>
              <w:pStyle w:val="0"/>
              <w:jc w:val="both"/>
            </w:pPr>
            <w:r>
              <w:rPr>
                <w:sz w:val="20"/>
              </w:rPr>
              <w:t xml:space="preserve">Должность</w:t>
            </w:r>
          </w:p>
        </w:tc>
        <w:tc>
          <w:tcPr>
            <w:tcW w:w="2834" w:type="dxa"/>
          </w:tcPr>
          <w:p>
            <w:pPr>
              <w:pStyle w:val="0"/>
            </w:pPr>
            <w:r>
              <w:rPr>
                <w:sz w:val="20"/>
              </w:rPr>
            </w:r>
          </w:p>
        </w:tc>
      </w:tr>
      <w:tr>
        <w:tc>
          <w:tcPr>
            <w:tcW w:w="566" w:type="dxa"/>
          </w:tcPr>
          <w:p>
            <w:pPr>
              <w:pStyle w:val="0"/>
              <w:jc w:val="center"/>
            </w:pPr>
            <w:r>
              <w:rPr>
                <w:sz w:val="20"/>
              </w:rPr>
              <w:t xml:space="preserve">3</w:t>
            </w:r>
          </w:p>
        </w:tc>
        <w:tc>
          <w:tcPr>
            <w:tcW w:w="5669" w:type="dxa"/>
          </w:tcPr>
          <w:p>
            <w:pPr>
              <w:pStyle w:val="0"/>
              <w:jc w:val="both"/>
            </w:pPr>
            <w:r>
              <w:rPr>
                <w:sz w:val="20"/>
              </w:rPr>
              <w:t xml:space="preserve">Дата рождения</w:t>
            </w:r>
          </w:p>
        </w:tc>
        <w:tc>
          <w:tcPr>
            <w:tcW w:w="2834" w:type="dxa"/>
          </w:tcPr>
          <w:p>
            <w:pPr>
              <w:pStyle w:val="0"/>
            </w:pPr>
            <w:r>
              <w:rPr>
                <w:sz w:val="20"/>
              </w:rPr>
            </w:r>
          </w:p>
        </w:tc>
      </w:tr>
      <w:tr>
        <w:tc>
          <w:tcPr>
            <w:tcW w:w="566" w:type="dxa"/>
          </w:tcPr>
          <w:p>
            <w:pPr>
              <w:pStyle w:val="0"/>
              <w:jc w:val="center"/>
            </w:pPr>
            <w:r>
              <w:rPr>
                <w:sz w:val="20"/>
              </w:rPr>
              <w:t xml:space="preserve">4</w:t>
            </w:r>
          </w:p>
        </w:tc>
        <w:tc>
          <w:tcPr>
            <w:tcW w:w="5669" w:type="dxa"/>
          </w:tcPr>
          <w:p>
            <w:pPr>
              <w:pStyle w:val="0"/>
              <w:jc w:val="both"/>
            </w:pPr>
            <w:r>
              <w:rPr>
                <w:sz w:val="20"/>
              </w:rPr>
              <w:t xml:space="preserve">Гражданство</w:t>
            </w:r>
          </w:p>
        </w:tc>
        <w:tc>
          <w:tcPr>
            <w:tcW w:w="2834" w:type="dxa"/>
          </w:tcPr>
          <w:p>
            <w:pPr>
              <w:pStyle w:val="0"/>
            </w:pPr>
            <w:r>
              <w:rPr>
                <w:sz w:val="20"/>
              </w:rPr>
            </w:r>
          </w:p>
        </w:tc>
      </w:tr>
      <w:tr>
        <w:tc>
          <w:tcPr>
            <w:tcW w:w="566" w:type="dxa"/>
          </w:tcPr>
          <w:p>
            <w:pPr>
              <w:pStyle w:val="0"/>
              <w:jc w:val="center"/>
            </w:pPr>
            <w:r>
              <w:rPr>
                <w:sz w:val="20"/>
              </w:rPr>
              <w:t xml:space="preserve">5</w:t>
            </w:r>
          </w:p>
        </w:tc>
        <w:tc>
          <w:tcPr>
            <w:tcW w:w="5669" w:type="dxa"/>
          </w:tcPr>
          <w:p>
            <w:pPr>
              <w:pStyle w:val="0"/>
              <w:jc w:val="both"/>
            </w:pPr>
            <w:r>
              <w:rPr>
                <w:sz w:val="20"/>
              </w:rPr>
              <w:t xml:space="preserve">Место жительства</w:t>
            </w:r>
          </w:p>
        </w:tc>
        <w:tc>
          <w:tcPr>
            <w:tcW w:w="2834" w:type="dxa"/>
          </w:tcPr>
          <w:p>
            <w:pPr>
              <w:pStyle w:val="0"/>
            </w:pPr>
            <w:r>
              <w:rPr>
                <w:sz w:val="20"/>
              </w:rPr>
            </w:r>
          </w:p>
        </w:tc>
      </w:tr>
      <w:tr>
        <w:tc>
          <w:tcPr>
            <w:tcW w:w="566" w:type="dxa"/>
          </w:tcPr>
          <w:p>
            <w:pPr>
              <w:pStyle w:val="0"/>
              <w:jc w:val="center"/>
            </w:pPr>
            <w:r>
              <w:rPr>
                <w:sz w:val="20"/>
              </w:rPr>
              <w:t xml:space="preserve">6</w:t>
            </w:r>
          </w:p>
        </w:tc>
        <w:tc>
          <w:tcPr>
            <w:tcW w:w="5669" w:type="dxa"/>
          </w:tcPr>
          <w:p>
            <w:pPr>
              <w:pStyle w:val="0"/>
              <w:jc w:val="both"/>
            </w:pPr>
            <w:r>
              <w:rPr>
                <w:sz w:val="20"/>
              </w:rPr>
              <w:t xml:space="preserve">Контактный телефон</w:t>
            </w:r>
          </w:p>
        </w:tc>
        <w:tc>
          <w:tcPr>
            <w:tcW w:w="2834" w:type="dxa"/>
          </w:tcPr>
          <w:p>
            <w:pPr>
              <w:pStyle w:val="0"/>
            </w:pPr>
            <w:r>
              <w:rPr>
                <w:sz w:val="20"/>
              </w:rPr>
            </w:r>
          </w:p>
        </w:tc>
      </w:tr>
      <w:tr>
        <w:tc>
          <w:tcPr>
            <w:tcW w:w="566" w:type="dxa"/>
          </w:tcPr>
          <w:p>
            <w:pPr>
              <w:pStyle w:val="0"/>
              <w:jc w:val="center"/>
            </w:pPr>
            <w:r>
              <w:rPr>
                <w:sz w:val="20"/>
              </w:rPr>
              <w:t xml:space="preserve">7</w:t>
            </w:r>
          </w:p>
        </w:tc>
        <w:tc>
          <w:tcPr>
            <w:tcW w:w="5669" w:type="dxa"/>
          </w:tcPr>
          <w:p>
            <w:pPr>
              <w:pStyle w:val="0"/>
              <w:jc w:val="both"/>
            </w:pPr>
            <w:r>
              <w:rPr>
                <w:sz w:val="20"/>
              </w:rPr>
              <w:t xml:space="preserve">E-mail (при наличии)</w:t>
            </w:r>
          </w:p>
        </w:tc>
        <w:tc>
          <w:tcPr>
            <w:tcW w:w="2834" w:type="dxa"/>
          </w:tcPr>
          <w:p>
            <w:pPr>
              <w:pStyle w:val="0"/>
            </w:pPr>
            <w:r>
              <w:rPr>
                <w:sz w:val="20"/>
              </w:rPr>
            </w:r>
          </w:p>
        </w:tc>
      </w:tr>
      <w:tr>
        <w:tc>
          <w:tcPr>
            <w:tcW w:w="566" w:type="dxa"/>
          </w:tcPr>
          <w:p>
            <w:pPr>
              <w:pStyle w:val="0"/>
              <w:jc w:val="center"/>
            </w:pPr>
            <w:r>
              <w:rPr>
                <w:sz w:val="20"/>
              </w:rPr>
              <w:t xml:space="preserve">8</w:t>
            </w:r>
          </w:p>
        </w:tc>
        <w:tc>
          <w:tcPr>
            <w:tcW w:w="5669" w:type="dxa"/>
          </w:tcPr>
          <w:p>
            <w:pPr>
              <w:pStyle w:val="0"/>
              <w:jc w:val="both"/>
            </w:pPr>
            <w:r>
              <w:rPr>
                <w:sz w:val="20"/>
              </w:rPr>
              <w:t xml:space="preserve">Уровень образования, наименование учебного заведения</w:t>
            </w:r>
          </w:p>
        </w:tc>
        <w:tc>
          <w:tcPr>
            <w:tcW w:w="2834" w:type="dxa"/>
          </w:tcPr>
          <w:p>
            <w:pPr>
              <w:pStyle w:val="0"/>
            </w:pPr>
            <w:r>
              <w:rPr>
                <w:sz w:val="20"/>
              </w:rPr>
            </w:r>
          </w:p>
        </w:tc>
      </w:tr>
      <w:tr>
        <w:tc>
          <w:tcPr>
            <w:tcW w:w="566" w:type="dxa"/>
          </w:tcPr>
          <w:p>
            <w:pPr>
              <w:pStyle w:val="0"/>
              <w:jc w:val="center"/>
            </w:pPr>
            <w:r>
              <w:rPr>
                <w:sz w:val="20"/>
              </w:rPr>
              <w:t xml:space="preserve">9</w:t>
            </w:r>
          </w:p>
        </w:tc>
        <w:tc>
          <w:tcPr>
            <w:tcW w:w="5669" w:type="dxa"/>
          </w:tcPr>
          <w:p>
            <w:pPr>
              <w:pStyle w:val="0"/>
              <w:jc w:val="both"/>
            </w:pPr>
            <w:r>
              <w:rPr>
                <w:sz w:val="20"/>
              </w:rPr>
              <w:t xml:space="preserve">Наличие ученого звания, ученой степени</w:t>
            </w:r>
          </w:p>
        </w:tc>
        <w:tc>
          <w:tcPr>
            <w:tcW w:w="2834" w:type="dxa"/>
          </w:tcPr>
          <w:p>
            <w:pPr>
              <w:pStyle w:val="0"/>
            </w:pPr>
            <w:r>
              <w:rPr>
                <w:sz w:val="20"/>
              </w:rPr>
            </w:r>
          </w:p>
        </w:tc>
      </w:tr>
      <w:tr>
        <w:tc>
          <w:tcPr>
            <w:tcW w:w="566" w:type="dxa"/>
          </w:tcPr>
          <w:p>
            <w:pPr>
              <w:pStyle w:val="0"/>
              <w:jc w:val="center"/>
            </w:pPr>
            <w:r>
              <w:rPr>
                <w:sz w:val="20"/>
              </w:rPr>
              <w:t xml:space="preserve">10</w:t>
            </w:r>
          </w:p>
        </w:tc>
        <w:tc>
          <w:tcPr>
            <w:tcW w:w="5669" w:type="dxa"/>
          </w:tcPr>
          <w:p>
            <w:pPr>
              <w:pStyle w:val="0"/>
              <w:jc w:val="both"/>
            </w:pPr>
            <w:r>
              <w:rPr>
                <w:sz w:val="20"/>
              </w:rPr>
              <w:t xml:space="preserve">Трудовая деятельность за последние 5 лет</w:t>
            </w:r>
          </w:p>
        </w:tc>
        <w:tc>
          <w:tcPr>
            <w:tcW w:w="2834" w:type="dxa"/>
          </w:tcPr>
          <w:p>
            <w:pPr>
              <w:pStyle w:val="0"/>
            </w:pPr>
            <w:r>
              <w:rPr>
                <w:sz w:val="20"/>
              </w:rPr>
            </w:r>
          </w:p>
        </w:tc>
      </w:tr>
      <w:tr>
        <w:tc>
          <w:tcPr>
            <w:tcW w:w="566" w:type="dxa"/>
          </w:tcPr>
          <w:p>
            <w:pPr>
              <w:pStyle w:val="0"/>
              <w:jc w:val="center"/>
            </w:pPr>
            <w:r>
              <w:rPr>
                <w:sz w:val="20"/>
              </w:rPr>
              <w:t xml:space="preserve">11</w:t>
            </w:r>
          </w:p>
        </w:tc>
        <w:tc>
          <w:tcPr>
            <w:tcW w:w="5669" w:type="dxa"/>
          </w:tcPr>
          <w:p>
            <w:pPr>
              <w:pStyle w:val="0"/>
              <w:jc w:val="both"/>
            </w:pPr>
            <w:r>
              <w:rPr>
                <w:sz w:val="20"/>
              </w:rPr>
              <w:t xml:space="preserve">Общественная деятельность</w:t>
            </w:r>
          </w:p>
        </w:tc>
        <w:tc>
          <w:tcPr>
            <w:tcW w:w="2834" w:type="dxa"/>
          </w:tcPr>
          <w:p>
            <w:pPr>
              <w:pStyle w:val="0"/>
            </w:pPr>
            <w:r>
              <w:rPr>
                <w:sz w:val="20"/>
              </w:rPr>
            </w:r>
          </w:p>
        </w:tc>
      </w:tr>
      <w:tr>
        <w:tc>
          <w:tcPr>
            <w:tcW w:w="566" w:type="dxa"/>
          </w:tcPr>
          <w:p>
            <w:pPr>
              <w:pStyle w:val="0"/>
              <w:jc w:val="center"/>
            </w:pPr>
            <w:r>
              <w:rPr>
                <w:sz w:val="20"/>
              </w:rPr>
              <w:t xml:space="preserve">12</w:t>
            </w:r>
          </w:p>
        </w:tc>
        <w:tc>
          <w:tcPr>
            <w:tcW w:w="5669" w:type="dxa"/>
          </w:tcPr>
          <w:p>
            <w:pPr>
              <w:pStyle w:val="0"/>
              <w:jc w:val="both"/>
            </w:pPr>
            <w:r>
              <w:rPr>
                <w:sz w:val="20"/>
              </w:rPr>
              <w:t xml:space="preserve">Наличие (отсутствие) неснятой или непогашенной судимости</w:t>
            </w:r>
          </w:p>
        </w:tc>
        <w:tc>
          <w:tcPr>
            <w:tcW w:w="2834" w:type="dxa"/>
          </w:tcPr>
          <w:p>
            <w:pPr>
              <w:pStyle w:val="0"/>
            </w:pPr>
            <w:r>
              <w:rPr>
                <w:sz w:val="20"/>
              </w:rPr>
            </w:r>
          </w:p>
        </w:tc>
      </w:tr>
      <w:tr>
        <w:tc>
          <w:tcPr>
            <w:tcW w:w="566" w:type="dxa"/>
          </w:tcPr>
          <w:p>
            <w:pPr>
              <w:pStyle w:val="0"/>
              <w:jc w:val="center"/>
            </w:pPr>
            <w:r>
              <w:rPr>
                <w:sz w:val="20"/>
              </w:rPr>
              <w:t xml:space="preserve">13</w:t>
            </w:r>
          </w:p>
        </w:tc>
        <w:tc>
          <w:tcPr>
            <w:tcW w:w="5669"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2834" w:type="dxa"/>
          </w:tcPr>
          <w:p>
            <w:pPr>
              <w:pStyle w:val="0"/>
            </w:pPr>
            <w:r>
              <w:rPr>
                <w:sz w:val="20"/>
              </w:rPr>
            </w:r>
          </w:p>
        </w:tc>
      </w:tr>
      <w:tr>
        <w:tc>
          <w:tcPr>
            <w:tcW w:w="566" w:type="dxa"/>
          </w:tcPr>
          <w:p>
            <w:pPr>
              <w:pStyle w:val="0"/>
              <w:jc w:val="center"/>
            </w:pPr>
            <w:r>
              <w:rPr>
                <w:sz w:val="20"/>
              </w:rPr>
              <w:t xml:space="preserve">14</w:t>
            </w:r>
          </w:p>
        </w:tc>
        <w:tc>
          <w:tcPr>
            <w:tcW w:w="5669" w:type="dxa"/>
          </w:tcPr>
          <w:p>
            <w:pPr>
              <w:pStyle w:val="0"/>
              <w:jc w:val="both"/>
            </w:pPr>
            <w:r>
              <w:rPr>
                <w:sz w:val="20"/>
              </w:rPr>
              <w:t xml:space="preserve">Дополнительная информация</w:t>
            </w:r>
          </w:p>
        </w:tc>
        <w:tc>
          <w:tcPr>
            <w:tcW w:w="283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30.03.2021 N 782)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70" w:name="P370"/>
    <w:bookmarkEnd w:id="370"/>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w:t>
      </w:r>
    </w:p>
    <w:p>
      <w:pPr>
        <w:pStyle w:val="1"/>
        <w:jc w:val="both"/>
      </w:pPr>
      <w:r>
        <w:rPr>
          <w:sz w:val="20"/>
        </w:rPr>
        <w:t xml:space="preserve">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62"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(Общественной палате Новосибирской области/министерству</w:t>
      </w:r>
    </w:p>
    <w:p>
      <w:pPr>
        <w:pStyle w:val="1"/>
        <w:jc w:val="both"/>
      </w:pPr>
      <w:r>
        <w:rPr>
          <w:sz w:val="20"/>
        </w:rPr>
        <w:t xml:space="preserve">                    образования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образования</w:t>
      </w:r>
    </w:p>
    <w:p>
      <w:pPr>
        <w:pStyle w:val="1"/>
        <w:jc w:val="both"/>
      </w:pPr>
      <w:r>
        <w:rPr>
          <w:sz w:val="20"/>
        </w:rPr>
        <w:t xml:space="preserve">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министерства образования Новосибирской области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63"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 20___ г. _____________ /_________________________________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4"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области/министерство образования</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23" w:name="P423"/>
    <w:bookmarkEnd w:id="423"/>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образования   Новосибирской  области  и  при  которой  может</w:t>
      </w:r>
    </w:p>
    <w:p>
      <w:pPr>
        <w:pStyle w:val="1"/>
        <w:jc w:val="both"/>
      </w:pPr>
      <w:r>
        <w:rPr>
          <w:sz w:val="20"/>
        </w:rPr>
        <w:t xml:space="preserve">возникнуть    противоречие    между    личной   заинтересованностью   члена</w:t>
      </w:r>
    </w:p>
    <w:p>
      <w:pPr>
        <w:pStyle w:val="1"/>
        <w:jc w:val="both"/>
      </w:pPr>
      <w:r>
        <w:rPr>
          <w:sz w:val="20"/>
        </w:rPr>
        <w:t xml:space="preserve">Общественного    совета   и   целями  и  задачами  общественного  контроля,</w:t>
      </w:r>
    </w:p>
    <w:p>
      <w:pPr>
        <w:pStyle w:val="1"/>
        <w:jc w:val="both"/>
      </w:pPr>
      <w:r>
        <w:rPr>
          <w:sz w:val="20"/>
        </w:rPr>
        <w:t xml:space="preserve">установленными  Федеральным  </w:t>
      </w:r>
      <w:hyperlink w:history="0" r:id="rId6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w:t>
      </w:r>
    </w:p>
    <w:p>
      <w:pPr>
        <w:pStyle w:val="1"/>
        <w:jc w:val="both"/>
      </w:pPr>
      <w:r>
        <w:rPr>
          <w:sz w:val="20"/>
        </w:rPr>
        <w:t xml:space="preserve">общественного контроля в Российской Федерации".</w:t>
      </w:r>
    </w:p>
    <w:p>
      <w:pPr>
        <w:pStyle w:val="1"/>
        <w:jc w:val="both"/>
      </w:pPr>
      <w:r>
        <w:rPr>
          <w:sz w:val="20"/>
        </w:rPr>
      </w:r>
    </w:p>
    <w:p>
      <w:pPr>
        <w:pStyle w:val="1"/>
        <w:jc w:val="both"/>
      </w:pPr>
      <w:r>
        <w:rPr>
          <w:sz w:val="20"/>
        </w:rPr>
        <w:t xml:space="preserve">___________________   _________________________________   _________________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Минобразования</w:t>
      </w:r>
    </w:p>
    <w:p>
      <w:pPr>
        <w:pStyle w:val="0"/>
        <w:jc w:val="right"/>
      </w:pPr>
      <w:r>
        <w:rPr>
          <w:sz w:val="20"/>
        </w:rPr>
        <w:t xml:space="preserve">Новосибирской области</w:t>
      </w:r>
    </w:p>
    <w:p>
      <w:pPr>
        <w:pStyle w:val="0"/>
        <w:jc w:val="right"/>
      </w:pPr>
      <w:r>
        <w:rPr>
          <w:sz w:val="20"/>
        </w:rPr>
        <w:t xml:space="preserve">от 16.04.2018 N 922</w:t>
      </w:r>
    </w:p>
    <w:p>
      <w:pPr>
        <w:pStyle w:val="0"/>
        <w:ind w:firstLine="54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ОБРАЗОВАНИЯ НОВОСИБИРСКОЙ ОБЛАСТИ</w:t>
      </w:r>
    </w:p>
    <w:p>
      <w:pPr>
        <w:pStyle w:val="0"/>
        <w:ind w:firstLine="540"/>
        <w:jc w:val="both"/>
      </w:pPr>
      <w:r>
        <w:rPr>
          <w:sz w:val="20"/>
        </w:rPr>
      </w:r>
    </w:p>
    <w:p>
      <w:pPr>
        <w:pStyle w:val="0"/>
        <w:ind w:firstLine="540"/>
        <w:jc w:val="both"/>
      </w:pPr>
      <w:r>
        <w:rPr>
          <w:sz w:val="20"/>
        </w:rPr>
        <w:t xml:space="preserve">Утратил силу. - </w:t>
      </w:r>
      <w:hyperlink w:history="0" r:id="rId66"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Приказ</w:t>
        </w:r>
      </w:hyperlink>
      <w:r>
        <w:rPr>
          <w:sz w:val="20"/>
        </w:rPr>
        <w:t xml:space="preserve"> Минобразования Новосибирской области от 28.11.2022 N 2751.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Минобразования Новосибирской области от 16.04.2018 N 922</w:t>
            <w:br/>
            <w:t>(ред. от 21.12.2023)</w:t>
            <w:br/>
            <w:t>"Об Общественном совете при министе...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38167&amp;dst=100005" TargetMode = "External"/>
	<Relationship Id="rId8" Type="http://schemas.openxmlformats.org/officeDocument/2006/relationships/hyperlink" Target="https://login.consultant.ru/link/?req=doc&amp;base=RLAW049&amp;n=152587&amp;dst=100005" TargetMode = "External"/>
	<Relationship Id="rId9" Type="http://schemas.openxmlformats.org/officeDocument/2006/relationships/hyperlink" Target="https://login.consultant.ru/link/?req=doc&amp;base=RLAW049&amp;n=155357&amp;dst=100005" TargetMode = "External"/>
	<Relationship Id="rId10" Type="http://schemas.openxmlformats.org/officeDocument/2006/relationships/hyperlink" Target="https://login.consultant.ru/link/?req=doc&amp;base=RLAW049&amp;n=156834&amp;dst=100005" TargetMode = "External"/>
	<Relationship Id="rId11" Type="http://schemas.openxmlformats.org/officeDocument/2006/relationships/hyperlink" Target="https://login.consultant.ru/link/?req=doc&amp;base=RLAW049&amp;n=168678&amp;dst=100005" TargetMode = "External"/>
	<Relationship Id="rId12" Type="http://schemas.openxmlformats.org/officeDocument/2006/relationships/hyperlink" Target="https://login.consultant.ru/link/?req=doc&amp;base=LAW&amp;n=292679&amp;dst=101189" TargetMode = "External"/>
	<Relationship Id="rId13" Type="http://schemas.openxmlformats.org/officeDocument/2006/relationships/hyperlink" Target="https://login.consultant.ru/link/?req=doc&amp;base=LAW&amp;n=292679&amp;dst=101318" TargetMode = "External"/>
	<Relationship Id="rId14" Type="http://schemas.openxmlformats.org/officeDocument/2006/relationships/hyperlink" Target="https://login.consultant.ru/link/?req=doc&amp;base=LAW&amp;n=287027" TargetMode = "External"/>
	<Relationship Id="rId15" Type="http://schemas.openxmlformats.org/officeDocument/2006/relationships/hyperlink" Target="https://login.consultant.ru/link/?req=doc&amp;base=RLAW049&amp;n=97927&amp;dst=100013" TargetMode = "External"/>
	<Relationship Id="rId16" Type="http://schemas.openxmlformats.org/officeDocument/2006/relationships/hyperlink" Target="https://login.consultant.ru/link/?req=doc&amp;base=RLAW049&amp;n=108192&amp;dst=100090" TargetMode = "External"/>
	<Relationship Id="rId17" Type="http://schemas.openxmlformats.org/officeDocument/2006/relationships/hyperlink" Target="https://login.consultant.ru/link/?req=doc&amp;base=RLAW049&amp;n=108487" TargetMode = "External"/>
	<Relationship Id="rId18" Type="http://schemas.openxmlformats.org/officeDocument/2006/relationships/hyperlink" Target="https://login.consultant.ru/link/?req=doc&amp;base=RLAW049&amp;n=107421" TargetMode = "External"/>
	<Relationship Id="rId19" Type="http://schemas.openxmlformats.org/officeDocument/2006/relationships/hyperlink" Target="https://login.consultant.ru/link/?req=doc&amp;base=RLAW049&amp;n=156834&amp;dst=100006" TargetMode = "External"/>
	<Relationship Id="rId20" Type="http://schemas.openxmlformats.org/officeDocument/2006/relationships/hyperlink" Target="https://login.consultant.ru/link/?req=doc&amp;base=RLAW049&amp;n=138167&amp;dst=100006" TargetMode = "External"/>
	<Relationship Id="rId21" Type="http://schemas.openxmlformats.org/officeDocument/2006/relationships/hyperlink" Target="https://login.consultant.ru/link/?req=doc&amp;base=RLAW049&amp;n=152587&amp;dst=100006" TargetMode = "External"/>
	<Relationship Id="rId22" Type="http://schemas.openxmlformats.org/officeDocument/2006/relationships/hyperlink" Target="https://login.consultant.ru/link/?req=doc&amp;base=RLAW049&amp;n=138167&amp;dst=100007" TargetMode = "External"/>
	<Relationship Id="rId23" Type="http://schemas.openxmlformats.org/officeDocument/2006/relationships/hyperlink" Target="https://login.consultant.ru/link/?req=doc&amp;base=RLAW049&amp;n=152587&amp;dst=100007" TargetMode = "External"/>
	<Relationship Id="rId24" Type="http://schemas.openxmlformats.org/officeDocument/2006/relationships/hyperlink" Target="https://login.consultant.ru/link/?req=doc&amp;base=RLAW049&amp;n=155357&amp;dst=100006" TargetMode = "External"/>
	<Relationship Id="rId25" Type="http://schemas.openxmlformats.org/officeDocument/2006/relationships/hyperlink" Target="https://login.consultant.ru/link/?req=doc&amp;base=RLAW049&amp;n=168678&amp;dst=100006" TargetMode = "External"/>
	<Relationship Id="rId26" Type="http://schemas.openxmlformats.org/officeDocument/2006/relationships/hyperlink" Target="https://login.consultant.ru/link/?req=doc&amp;base=LAW&amp;n=287027" TargetMode = "External"/>
	<Relationship Id="rId27" Type="http://schemas.openxmlformats.org/officeDocument/2006/relationships/hyperlink" Target="https://login.consultant.ru/link/?req=doc&amp;base=RLAW049&amp;n=97927" TargetMode = "External"/>
	<Relationship Id="rId28" Type="http://schemas.openxmlformats.org/officeDocument/2006/relationships/hyperlink" Target="https://login.consultant.ru/link/?req=doc&amp;base=RLAW049&amp;n=108487" TargetMode = "External"/>
	<Relationship Id="rId29" Type="http://schemas.openxmlformats.org/officeDocument/2006/relationships/hyperlink" Target="https://login.consultant.ru/link/?req=doc&amp;base=LAW&amp;n=2875" TargetMode = "External"/>
	<Relationship Id="rId30" Type="http://schemas.openxmlformats.org/officeDocument/2006/relationships/hyperlink" Target="https://login.consultant.ru/link/?req=doc&amp;base=RLAW049&amp;n=138167&amp;dst=100008" TargetMode = "External"/>
	<Relationship Id="rId31" Type="http://schemas.openxmlformats.org/officeDocument/2006/relationships/hyperlink" Target="https://login.consultant.ru/link/?req=doc&amp;base=LAW&amp;n=284331" TargetMode = "External"/>
	<Relationship Id="rId32" Type="http://schemas.openxmlformats.org/officeDocument/2006/relationships/hyperlink" Target="https://login.consultant.ru/link/?req=doc&amp;base=RLAW049&amp;n=155357&amp;dst=100007" TargetMode = "External"/>
	<Relationship Id="rId33" Type="http://schemas.openxmlformats.org/officeDocument/2006/relationships/hyperlink" Target="https://login.consultant.ru/link/?req=doc&amp;base=LAW&amp;n=284331" TargetMode = "External"/>
	<Relationship Id="rId34" Type="http://schemas.openxmlformats.org/officeDocument/2006/relationships/hyperlink" Target="https://login.consultant.ru/link/?req=doc&amp;base=RLAW049&amp;n=168678&amp;dst=100006" TargetMode = "External"/>
	<Relationship Id="rId35" Type="http://schemas.openxmlformats.org/officeDocument/2006/relationships/hyperlink" Target="https://login.consultant.ru/link/?req=doc&amp;base=RLAW049&amp;n=155357&amp;dst=100008" TargetMode = "External"/>
	<Relationship Id="rId36" Type="http://schemas.openxmlformats.org/officeDocument/2006/relationships/hyperlink" Target="https://login.consultant.ru/link/?req=doc&amp;base=LAW&amp;n=389133" TargetMode = "External"/>
	<Relationship Id="rId37" Type="http://schemas.openxmlformats.org/officeDocument/2006/relationships/hyperlink" Target="https://login.consultant.ru/link/?req=doc&amp;base=LAW&amp;n=389133" TargetMode = "External"/>
	<Relationship Id="rId38" Type="http://schemas.openxmlformats.org/officeDocument/2006/relationships/hyperlink" Target="https://login.consultant.ru/link/?req=doc&amp;base=RLAW049&amp;n=152587&amp;dst=100008" TargetMode = "External"/>
	<Relationship Id="rId39" Type="http://schemas.openxmlformats.org/officeDocument/2006/relationships/hyperlink" Target="https://login.consultant.ru/link/?req=doc&amp;base=RLAW049&amp;n=152587&amp;dst=100012" TargetMode = "External"/>
	<Relationship Id="rId40" Type="http://schemas.openxmlformats.org/officeDocument/2006/relationships/hyperlink" Target="https://login.consultant.ru/link/?req=doc&amp;base=RLAW049&amp;n=152587&amp;dst=100014" TargetMode = "External"/>
	<Relationship Id="rId41" Type="http://schemas.openxmlformats.org/officeDocument/2006/relationships/hyperlink" Target="https://login.consultant.ru/link/?req=doc&amp;base=RLAW049&amp;n=152587&amp;dst=100016" TargetMode = "External"/>
	<Relationship Id="rId42" Type="http://schemas.openxmlformats.org/officeDocument/2006/relationships/hyperlink" Target="https://login.consultant.ru/link/?req=doc&amp;base=RLAW049&amp;n=152587&amp;dst=100021" TargetMode = "External"/>
	<Relationship Id="rId43" Type="http://schemas.openxmlformats.org/officeDocument/2006/relationships/hyperlink" Target="https://login.consultant.ru/link/?req=doc&amp;base=RLAW049&amp;n=138167&amp;dst=100052" TargetMode = "External"/>
	<Relationship Id="rId44" Type="http://schemas.openxmlformats.org/officeDocument/2006/relationships/hyperlink" Target="https://login.consultant.ru/link/?req=doc&amp;base=RLAW049&amp;n=138167&amp;dst=100054" TargetMode = "External"/>
	<Relationship Id="rId45" Type="http://schemas.openxmlformats.org/officeDocument/2006/relationships/hyperlink" Target="https://login.consultant.ru/link/?req=doc&amp;base=RLAW049&amp;n=152587&amp;dst=100023" TargetMode = "External"/>
	<Relationship Id="rId46" Type="http://schemas.openxmlformats.org/officeDocument/2006/relationships/hyperlink" Target="https://login.consultant.ru/link/?req=doc&amp;base=RLAW049&amp;n=138167&amp;dst=100055" TargetMode = "External"/>
	<Relationship Id="rId47" Type="http://schemas.openxmlformats.org/officeDocument/2006/relationships/hyperlink" Target="https://login.consultant.ru/link/?req=doc&amp;base=RLAW049&amp;n=152587&amp;dst=100024" TargetMode = "External"/>
	<Relationship Id="rId48" Type="http://schemas.openxmlformats.org/officeDocument/2006/relationships/hyperlink" Target="https://login.consultant.ru/link/?req=doc&amp;base=RLAW049&amp;n=138167&amp;dst=100057" TargetMode = "External"/>
	<Relationship Id="rId49" Type="http://schemas.openxmlformats.org/officeDocument/2006/relationships/hyperlink" Target="https://login.consultant.ru/link/?req=doc&amp;base=RLAW049&amp;n=138167&amp;dst=100059" TargetMode = "External"/>
	<Relationship Id="rId50" Type="http://schemas.openxmlformats.org/officeDocument/2006/relationships/hyperlink" Target="https://login.consultant.ru/link/?req=doc&amp;base=RLAW049&amp;n=138167&amp;dst=100060" TargetMode = "External"/>
	<Relationship Id="rId51" Type="http://schemas.openxmlformats.org/officeDocument/2006/relationships/hyperlink" Target="https://login.consultant.ru/link/?req=doc&amp;base=RLAW049&amp;n=152587&amp;dst=100026" TargetMode = "External"/>
	<Relationship Id="rId52" Type="http://schemas.openxmlformats.org/officeDocument/2006/relationships/hyperlink" Target="https://login.consultant.ru/link/?req=doc&amp;base=RLAW049&amp;n=152587&amp;dst=100039" TargetMode = "External"/>
	<Relationship Id="rId53" Type="http://schemas.openxmlformats.org/officeDocument/2006/relationships/hyperlink" Target="https://login.consultant.ru/link/?req=doc&amp;base=RLAW049&amp;n=152587&amp;dst=100045" TargetMode = "External"/>
	<Relationship Id="rId54" Type="http://schemas.openxmlformats.org/officeDocument/2006/relationships/hyperlink" Target="https://login.consultant.ru/link/?req=doc&amp;base=RLAW049&amp;n=152587&amp;dst=100047" TargetMode = "External"/>
	<Relationship Id="rId55" Type="http://schemas.openxmlformats.org/officeDocument/2006/relationships/hyperlink" Target="https://login.consultant.ru/link/?req=doc&amp;base=RLAW049&amp;n=152587&amp;dst=100051" TargetMode = "External"/>
	<Relationship Id="rId56" Type="http://schemas.openxmlformats.org/officeDocument/2006/relationships/hyperlink" Target="https://login.consultant.ru/link/?req=doc&amp;base=LAW&amp;n=287027" TargetMode = "External"/>
	<Relationship Id="rId57" Type="http://schemas.openxmlformats.org/officeDocument/2006/relationships/hyperlink" Target="https://login.consultant.ru/link/?req=doc&amp;base=RLAW049&amp;n=138167&amp;dst=100064" TargetMode = "External"/>
	<Relationship Id="rId58" Type="http://schemas.openxmlformats.org/officeDocument/2006/relationships/hyperlink" Target="https://login.consultant.ru/link/?req=doc&amp;base=LAW&amp;n=314836" TargetMode = "External"/>
	<Relationship Id="rId59" Type="http://schemas.openxmlformats.org/officeDocument/2006/relationships/hyperlink" Target="https://login.consultant.ru/link/?req=doc&amp;base=RLAW049&amp;n=152587&amp;dst=100053" TargetMode = "External"/>
	<Relationship Id="rId60" Type="http://schemas.openxmlformats.org/officeDocument/2006/relationships/hyperlink" Target="https://login.consultant.ru/link/?req=doc&amp;base=RLAW049&amp;n=152587&amp;dst=100054" TargetMode = "External"/>
	<Relationship Id="rId61" Type="http://schemas.openxmlformats.org/officeDocument/2006/relationships/hyperlink" Target="https://login.consultant.ru/link/?req=doc&amp;base=RLAW049&amp;n=138167&amp;dst=100072" TargetMode = "External"/>
	<Relationship Id="rId62" Type="http://schemas.openxmlformats.org/officeDocument/2006/relationships/hyperlink" Target="https://login.consultant.ru/link/?req=doc&amp;base=LAW&amp;n=373130" TargetMode = "External"/>
	<Relationship Id="rId63" Type="http://schemas.openxmlformats.org/officeDocument/2006/relationships/hyperlink" Target="https://login.consultant.ru/link/?req=doc&amp;base=LAW&amp;n=373130&amp;dst=100109" TargetMode = "External"/>
	<Relationship Id="rId64" Type="http://schemas.openxmlformats.org/officeDocument/2006/relationships/hyperlink" Target="https://login.consultant.ru/link/?req=doc&amp;base=RLAW049&amp;n=152587&amp;dst=100055" TargetMode = "External"/>
	<Relationship Id="rId65" Type="http://schemas.openxmlformats.org/officeDocument/2006/relationships/hyperlink" Target="https://login.consultant.ru/link/?req=doc&amp;base=LAW&amp;n=314836" TargetMode = "External"/>
	<Relationship Id="rId66" Type="http://schemas.openxmlformats.org/officeDocument/2006/relationships/hyperlink" Target="https://login.consultant.ru/link/?req=doc&amp;base=RLAW049&amp;n=156834&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Новосибирской области от 16.04.2018 N 922
(ред. от 21.12.2023)
"Об Общественном совете при министерстве образования Новосибирской области"</dc:title>
  <dcterms:created xsi:type="dcterms:W3CDTF">2024-01-18T05:10:56Z</dcterms:created>
</cp:coreProperties>
</file>